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5. Суд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Судья, установив при разрешении вопроса о назначении судебного заседания, что поступившее уголовное дело не подсудно данному суду, выносит постановление о направлении данного уголовного дела по подсудности.</w:t>
      </w:r>
    </w:p>
    <w:p>
      <w:pPr>
        <w:spacing w:after="120"/>
        <w:ind w:firstLine="709"/>
      </w:pPr>
      <w:r>
        <w:rPr>
          <w:sz w:val="24"/>
        </w:rPr>
        <w:t xml:space="preserve">2. Суд, установив, что находящееся в его производстве уголовное дело подсудно другому суду того же уровня, вправе с согласия подсудимого оставить данное уголовное дело в своем производстве, но только в случае, если он уже приступил к его рассмотрению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3. Если уголовное дело подсудно вышестоящему суду или военному суду, то оно во всех случаях подлежит передаче по подсудности.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34</dc:title>
  <dc:creator>АРБИТРАЖ! · arbi.ru</dc:creator>
  <cp:lastModifiedBy>АРБИТРАЖ!</cp:lastModifiedBy>
  <dcterms:created xsi:type="dcterms:W3CDTF">2026-10-26T07:04:13.339Z</dcterms:created>
</cp:coreProperties>
</file>