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45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6. Участники уголовного судопроизводства со стороны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Представителями потерпевшего, гражданского истца и частного обвинителя могут быть адвокаты, а представителями гражданского истца, являющегося юридическим лицом, также иные лица, правомочные в соответствии с Гражданским кодексом Российской Федерации представлять его интересы. В качестве представителя потерпевшего или гражданского истца могут быть также допущены один из близких родственников потерпевшего или гражданского истца либо иное лицо, о допуске которого ходатайствует потерпевший или гражданский истец.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Для защиты прав и законных интересов потерпевших, являющихся несовершеннолетними или по своему физическому или психическому состоянию лишенных возможности самостоятельно защищать свои права и законные интересы, к обязательному участию в уголовном деле привлекаются их законные представители или представители.</w:t>
      </w:r>
    </w:p>
    <w:p>
      <w:pPr>
        <w:spacing w:after="120"/>
        <w:ind w:firstLine="709"/>
      </w:pPr>
      <w:r>
        <w:rPr>
          <w:sz w:val="24"/>
        </w:rPr>
        <w:t xml:space="preserve">2.1. По ходатайству законного представителя несовершеннолетнего потерпевшего, не достигшего возраста шестнадцати лет, в отношении которого совершено преступление против половой неприкосновенности несовершеннолетнего, участие адвоката в качестве представителя такого потерпевшего обеспечивается дознавателем, следователем или судом. В этом случае расходы на оплату труда адвоката компенсируются за счет средств федерального бюджета.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2.2. По постановлению дознавателя, следователя, судьи или определению суда законный представитель несовершеннолетнего потерпевшего может быть отстранен от участия в уголовном деле, если имеются основания полагать, что его действия наносят ущерб интересам несовершеннолетнего потерпевшего. В этом случае к участию в уголовном деле допускается другой законный представитель несовершеннолетнего потерпевшего.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28.12.2013 N 432-ФЗ)</w:t>
      </w:r>
    </w:p>
    <w:p>
      <w:pPr>
        <w:spacing w:after="120"/>
        <w:ind w:firstLine="709"/>
      </w:pPr>
      <w:r>
        <w:rPr>
          <w:sz w:val="24"/>
        </w:rPr>
        <w:t xml:space="preserve">3. Законные представители и представители потерпевшего, гражданского истца и частного обвинителя имеют те же процессуальные права, что и представляемые ими лица.</w:t>
      </w:r>
    </w:p>
    <w:p>
      <w:pPr>
        <w:spacing w:after="120"/>
        <w:ind w:firstLine="709"/>
      </w:pPr>
      <w:r>
        <w:rPr>
          <w:sz w:val="24"/>
        </w:rPr>
        <w:t xml:space="preserve">4. Личное участие в уголовном деле потерпевшего, гражданского истца или частного обвинителя не лишает его права иметь по этому уголовному делу представителя.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45</dc:title>
  <dc:creator>АРБИТРАЖ! · arbi.ru</dc:creator>
  <cp:lastModifiedBy>АРБИТРАЖ!</cp:lastModifiedBy>
  <dcterms:created xsi:type="dcterms:W3CDTF">2026-10-24T15:21:54.354Z</dcterms:created>
</cp:coreProperties>
</file>