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7. Участники уголовного судопроизводства со стороны защиты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 момента вступления в уголовное дело защитник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иметь с подозреваемым, обвиняемым свидания в соответствии с пунктом 3 части четвертой статьи 46 и пунктом 9 части четвертой статьи 47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собирать и представлять доказательства, необходимые для оказания юридической помощи, в порядке, установленном частью третьей статьи 86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привлекать специалиста в соответствии со статьей 58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присутствовать при предъявлении обвинения;</w:t>
      </w:r>
    </w:p>
    <w:p>
      <w:pPr>
        <w:spacing w:after="120"/>
        <w:ind w:firstLine="709"/>
      </w:pPr>
      <w:r>
        <w:rPr>
          <w:sz w:val="24"/>
        </w:rPr>
        <w:t xml:space="preserve">5) участвовать в допросе подозреваемого, обвиняемого, а также в иных следственных действиях, производимых с участием подозреваемого, обвиняемого либо по его ходатайству или ходатайству самого защитника в порядке, установленном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6) знакомиться с протоколом задержания, постановлением о применении меры пресечения, протоколами следственных действий, произведенных с участием подозреваемого, обвиняемого, иными документами, которые предъявлялись либо должны были предъявляться подозреваемому, обвиняемому;</w:t>
      </w:r>
    </w:p>
    <w:p>
      <w:pPr>
        <w:spacing w:after="120"/>
        <w:ind w:firstLine="709"/>
      </w:pPr>
      <w:r>
        <w:rPr>
          <w:sz w:val="24"/>
        </w:rPr>
        <w:t xml:space="preserve">7) знакомиться по окончании предварительного расследования со всеми материалами уголовного дела, выписывать из уголовного дела любые сведения в любом объеме, снимать за свой счет копии с материалов уголовного дела, в том числе с помощью технических средств;</w:t>
      </w:r>
    </w:p>
    <w:p>
      <w:pPr>
        <w:spacing w:after="120"/>
        <w:ind w:firstLine="709"/>
      </w:pPr>
      <w:r>
        <w:rPr>
          <w:sz w:val="24"/>
        </w:rPr>
        <w:t xml:space="preserve">8) заявлять ходатайства и отводы;</w:t>
      </w:r>
    </w:p>
    <w:p>
      <w:pPr>
        <w:spacing w:after="120"/>
        <w:ind w:firstLine="709"/>
      </w:pPr>
      <w:r>
        <w:rPr>
          <w:sz w:val="24"/>
        </w:rPr>
        <w:t xml:space="preserve">9) участвовать в судебном разбирательстве уголовного дела в судах первой, второй, кассационной и надзорной инстанций, а также в рассмотрении вопросов, связанных с исполнением приговора;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следователя, прокурора, суда и участвовать в их рассмотрении судом;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использовать иные не запрещенные настоящим Кодексом средства и способы защиты.</w:t>
      </w:r>
    </w:p>
    <w:p>
      <w:pPr>
        <w:spacing w:after="120"/>
        <w:ind w:firstLine="709"/>
      </w:pPr>
      <w:r>
        <w:rPr>
          <w:sz w:val="24"/>
        </w:rPr>
        <w:t xml:space="preserve">2. Защитник, участвующий в производстве следственного действия, в рамках оказания юридической помощи своему подзащитному вправе давать ему в присутствии следователя, дознавателя краткие консультации, задавать с разрешения следователя, дознавателя вопросы допрашиваемым лицам, делать письменные замечания по поводу правильности и полноты записей в протоколе данного следственного действия. Следователь или дознаватель может отвести вопросы защитника, но обязан занести отведенные вопросы в протокол.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 . Защитник не вправе разглашать данные предварительного расследования, ставшие ему известными в связи с осуществлением защиты, если он был об этом заранее предупрежден в порядке, установленном статьей 161 настоящего Кодекса. За разглашение данных предварительного расследования защитник несет ответственность в соответствии со статьей 310 Уголовного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53</dc:title>
  <dc:creator>АРБИТРАЖ! · arbi.ru</dc:creator>
  <cp:lastModifiedBy>АРБИТРАЖ!</cp:lastModifiedBy>
  <dcterms:created xsi:type="dcterms:W3CDTF">2026-10-24T08:00:11.240Z</dcterms:created>
</cp:coreProperties>
</file>