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55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7. Участники уголовного судопроизводства со стороны защиты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Представителями гражданского ответчика могут быть адвокаты, а представителями гражданского ответчика, являющегося юридическим лицом, также иные лица, правомочные в соответствии с Гражданским кодексом Российской Федерации представлять его интересы. По определению суда или постановлению судьи, следователя, дознавателя в качестве представителя гражданского ответчика могут быть также допущены один из близких родственников гражданского ответчика или иное лицо, о допуске которого ходатайствует гражданский ответчик.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Представитель гражданского ответчика имеет те же права, что и представляемое им лицо.</w:t>
      </w:r>
    </w:p>
    <w:p>
      <w:pPr>
        <w:spacing w:after="120"/>
        <w:ind w:firstLine="709"/>
      </w:pPr>
      <w:r>
        <w:rPr>
          <w:sz w:val="24"/>
        </w:rPr>
        <w:t xml:space="preserve">3. Личное участие в производстве по уголовному делу гражданского ответчика не лишает его права иметь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55</dc:title>
  <dc:creator>АРБИТРАЖ! · arbi.ru</dc:creator>
  <cp:lastModifiedBy>АРБИТРАЖ!</cp:lastModifiedBy>
  <dcterms:created xsi:type="dcterms:W3CDTF">2026-10-24T06:01:10.443Z</dcterms:created>
</cp:coreProperties>
</file>