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об отводе переводчика в ходе досудебного производства по уголовному делу принимает дознаватель, следователь, а также суд в случаях, предусмотренных статьей 165 настоящего Кодекса. В ходе судебного производства указанное решение принимает суд, рассматривающий данное уголовное дело, или судья, председательствующий в суде с участием присяжных заседателей.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наличии обстоятельств, предусмотренных статьей 61 настоящего Кодекса, отвод переводчику может быть заявлен сторонами, а в случае обнаружения некомпетентности переводчика - также свидетелем, экспертом или специалистом.</w:t>
      </w:r>
    </w:p>
    <w:p>
      <w:pPr>
        <w:spacing w:after="120"/>
        <w:ind w:firstLine="709"/>
      </w:pPr>
      <w:r>
        <w:rPr>
          <w:sz w:val="24"/>
        </w:rPr>
        <w:t xml:space="preserve">3. Предыдущее участие лица в производстве по уголовному делу в качестве переводчика не является основанием для его отвода.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69</dc:title>
  <dc:creator>АРБИТРАЖ! · arbi.ru</dc:creator>
  <cp:lastModifiedBy>АРБИТРАЖ!</cp:lastModifiedBy>
  <dcterms:created xsi:type="dcterms:W3CDTF">2026-10-23T15:37:04.916Z</dcterms:created>
</cp:coreProperties>
</file>