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Иные документы допускаются в качестве доказательств, если изложенные в них сведения имеют значение для установления обстоятельств, указанных в статье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Документы могут содержать сведения, зафиксированные как в письменном, так и в ином виде. К ним могут относиться материалы фото- и киносъемки, аудио- и видеозаписи и иные носители информации, полученные, истребованные или представленные в порядке, установленном статьей 86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Документы приобщаются к материалам уголовного дела и хранятся в течение всего срока его хранения. По ходатайству законного владельца изъятые и приобщенные к уголовному делу документы или их копии могут быть переданы ему.</w:t>
      </w:r>
    </w:p>
    <w:p>
      <w:pPr>
        <w:spacing w:after="120"/>
        <w:ind w:firstLine="709"/>
      </w:pPr>
      <w:r>
        <w:rPr>
          <w:sz w:val="24"/>
        </w:rPr>
        <w:t xml:space="preserve">4. Документы, обладающие признаками, указанными в части первой статьи 81 настоящего Кодекса, признаются вещественными доказательствами.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84</dc:title>
  <dc:creator>АРБИТРАЖ! · arbi.ru</dc:creator>
  <cp:lastModifiedBy>АРБИТРАЖ!</cp:lastModifiedBy>
  <dcterms:created xsi:type="dcterms:W3CDTF">2026-10-22T22:00:52.880Z</dcterms:created>
</cp:coreProperties>
</file>