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116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Иные меры процессуального принуждения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целях обеспечения возможной конфискации имущества, указанного в части первой статьи 104.1 Уголовного кодекса Российской Федерации, либо в целях обеспечения возмещения вреда, причиненного преступлением, либо в целях обеспечения исполнения наказания в виде штрафа арест на ценные бумаги либо их сертификаты налагается по месту нахождения имущества либо по месту учета прав владельца ценных бумаг с соблюдением требований статьи 115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27.07.2006 N 153-ФЗ , от 08.03.2015 N 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 подлежат аресту ценные бумаги на предъявителя, находящиеся у добросовестного приобретателя.</w:t>
      </w:r>
    </w:p>
    <w:p>
      <w:pPr>
        <w:spacing w:after="120"/>
        <w:ind w:firstLine="709"/>
      </w:pPr>
      <w:r>
        <w:rPr>
          <w:sz w:val="24"/>
        </w:rPr>
        <w:t xml:space="preserve">3. В протоколе о наложении ареста на ценные бумаги указываются:</w:t>
      </w:r>
    </w:p>
    <w:p>
      <w:pPr>
        <w:spacing w:after="120"/>
        <w:ind w:firstLine="709"/>
      </w:pPr>
      <w:r>
        <w:rPr>
          <w:sz w:val="24"/>
        </w:rPr>
        <w:t xml:space="preserve">1) общее количество ценных бумаг, на которые наложен арест, их вид, категория (тип) или серия;</w:t>
      </w:r>
    </w:p>
    <w:p>
      <w:pPr>
        <w:spacing w:after="120"/>
        <w:ind w:firstLine="709"/>
      </w:pPr>
      <w:r>
        <w:rPr>
          <w:sz w:val="24"/>
        </w:rPr>
        <w:t xml:space="preserve">2) номинальная стоимость;</w:t>
      </w:r>
    </w:p>
    <w:p>
      <w:pPr>
        <w:spacing w:after="120"/>
        <w:ind w:firstLine="709"/>
      </w:pPr>
      <w:r>
        <w:rPr>
          <w:sz w:val="24"/>
        </w:rPr>
        <w:t xml:space="preserve">3) государственный регистрационный номер;</w:t>
      </w:r>
    </w:p>
    <w:p>
      <w:pPr>
        <w:spacing w:after="120"/>
        <w:ind w:firstLine="709"/>
      </w:pPr>
      <w:r>
        <w:rPr>
          <w:sz w:val="24"/>
        </w:rPr>
        <w:t xml:space="preserve">4) сведения об эмитенте или о лицах, выдавших ценные бумаги либо осуществивших учет прав владельца ценных бумаг, а также о месте производства учета;</w:t>
      </w:r>
    </w:p>
    <w:p>
      <w:pPr>
        <w:spacing w:after="120"/>
        <w:ind w:firstLine="709"/>
      </w:pPr>
      <w:r>
        <w:rPr>
          <w:sz w:val="24"/>
        </w:rPr>
        <w:t xml:space="preserve">5) сведения о документе, удостоверяющем право собственности на ценные бумаги, на которые наложен арест.</w:t>
      </w:r>
    </w:p>
    <w:p>
      <w:pPr>
        <w:spacing w:after="120"/>
        <w:ind w:firstLine="709"/>
      </w:pPr>
      <w:r>
        <w:rPr>
          <w:sz w:val="24"/>
        </w:rPr>
        <w:t xml:space="preserve">4. Порядок совершения действий по погашению ценных бумаг, на которые наложен арест, выплате по ним доходов, их конвертации, обмену или иных действий с ними устанавливается федеральным законом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116</dc:title>
  <dc:creator>АРБИТРАЖ! · arbi.ru</dc:creator>
  <cp:lastModifiedBy>АРБИТРАЖ!</cp:lastModifiedBy>
  <dcterms:created xsi:type="dcterms:W3CDTF">2026-10-24T07:59:58.699Z</dcterms:created>
</cp:coreProperties>
</file>