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141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Поводы и основание для возбуждения уголовного дела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преступлении может быть сделано в устном или письменном виде.</w:t>
      </w:r>
    </w:p>
    <w:p>
      <w:pPr>
        <w:spacing w:after="120"/>
        <w:ind w:firstLine="709"/>
      </w:pPr>
      <w:r>
        <w:rPr>
          <w:sz w:val="24"/>
        </w:rPr>
        <w:t xml:space="preserve">2. Письменное заявление о преступлении должно быть подписано заявителем.</w:t>
      </w:r>
    </w:p>
    <w:p>
      <w:pPr>
        <w:spacing w:after="120"/>
        <w:ind w:firstLine="709"/>
      </w:pPr>
      <w:r>
        <w:rPr>
          <w:sz w:val="24"/>
        </w:rPr>
        <w:t xml:space="preserve">3. Устное заявление о преступлении заносится в протокол, который подписывается заявителем и лицом, принявшим данное заявление. Протокол должен содержать данные о заявителе, а также о документах , удостоверяющих личность заявителя.</w:t>
      </w:r>
    </w:p>
    <w:p>
      <w:pPr>
        <w:spacing w:after="120"/>
        <w:ind w:firstLine="709"/>
      </w:pPr>
      <w:r>
        <w:rPr>
          <w:sz w:val="24"/>
        </w:rPr>
        <w:t xml:space="preserve">4. Если устное сообщение о преступлении сделано при производстве следственного действия или в ходе судебного разбирательства, то оно заносится соответственно в протокол следственного действия или протокол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5. В случае, когда заявитель не может лично присутствовать при составлении протокола, его заявление оформляется в порядке, установленном статьей 143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Заявитель предупреждается об уголовной ответственности за заведомо ложный донос в соответствии со статьей 306 Уголовного кодекса Российской Федерации, о чем в протоколе делается отметка, которая удостоверяется подписью заявителя.</w:t>
      </w:r>
    </w:p>
    <w:p>
      <w:pPr>
        <w:spacing w:after="120"/>
        <w:ind w:firstLine="709"/>
      </w:pPr>
      <w:r>
        <w:rPr>
          <w:sz w:val="24"/>
        </w:rPr>
        <w:t xml:space="preserve">7. Анонимное заявление о преступлении не может служить поводом для возбуждения уголовного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141</dc:title>
  <dc:creator>АРБИТРАЖ! · arbi.ru</dc:creator>
  <cp:lastModifiedBy>АРБИТРАЖ!</cp:lastModifiedBy>
  <dcterms:created xsi:type="dcterms:W3CDTF">2026-10-26T16:29:14.274Z</dcterms:created>
</cp:coreProperties>
</file>