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153.1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20.03.2025 N 38-ФЗ)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в ходе предварительного расследования становится известно о совершении нового преступления, отнесенного к подследственности того же органа предварительного расследования, и при наличии оснований для соединения уголовных дел, предусмотренных частями первой и второй статьи 153 настоящего Кодекса, следователь, дознаватель вправе без выделения в отдельное производство материалов возбудить уголовное дело, которое соединяется с расследуемым уголовным делом в соответствии с частью третьей статьи 153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153.1</dc:title>
  <dc:creator>АРБИТРАЖ! · arbi.ru</dc:creator>
  <cp:lastModifiedBy>АРБИТРАЖ!</cp:lastModifiedBy>
  <dcterms:created xsi:type="dcterms:W3CDTF">2026-10-27T06:24:26.876Z</dcterms:created>
</cp:coreProperties>
</file>