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предварительного расследования оканчивается:</w:t>
      </w:r>
    </w:p>
    <w:p>
      <w:pPr>
        <w:spacing w:after="120"/>
        <w:ind w:firstLine="709"/>
      </w:pPr>
      <w:r>
        <w:rPr>
          <w:sz w:val="24"/>
        </w:rPr>
        <w:t xml:space="preserve">1) по уголовным делам, по которым предварительное следствие обязательно, - в порядке, установленном главами 29 - 31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по остальным уголовным делам - в порядке, установленном главой 32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Установив в ходе досудебного производства по уголовному делу обстоятельства, способствовавшие совершению преступления, дознаватель, руководитель следственного органа, следователь вправе внести в соответствующую организацию или соответствующему должностному лицу представление о принятии мер по устранению указанных обстоятельств или других нарушений закона. Данное представление подлежит рассмотрению с обязательным уведомлением о принятых мерах не позднее одного месяца со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02.12.2008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158</dc:title>
  <dc:creator>АРБИТРАЖ! · arbi.ru</dc:creator>
  <cp:lastModifiedBy>АРБИТРАЖ!</cp:lastModifiedBy>
  <dcterms:created xsi:type="dcterms:W3CDTF">2026-10-27T04:24:28.511Z</dcterms:created>
</cp:coreProperties>
</file>