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186.1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01.07.2010 N 143-ФЗ)</w:t>
      </w:r>
    </w:p>
    <w:p>
      <w:pPr>
        <w:spacing w:after="120"/>
        <w:ind w:firstLine="709"/>
      </w:pPr>
      <w:r>
        <w:rPr>
          <w:sz w:val="24"/>
        </w:rPr>
        <w:t xml:space="preserve">1. При наличии достаточных оснований полагать, что информация о соединениях между абонентами и (или) абонентскими устройствами имеет значение для уголовного дела, получение следователем указанной информации допускается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ходатайстве следователя о производстве следственного действия, касающегося получения информации о соединениях между абонентами и (или) абонентскими устройствами, указываются:</w:t>
      </w:r>
    </w:p>
    <w:p>
      <w:pPr>
        <w:spacing w:after="120"/>
        <w:ind w:firstLine="709"/>
      </w:pPr>
      <w:r>
        <w:rPr>
          <w:sz w:val="24"/>
        </w:rPr>
        <w:t xml:space="preserve">1) уголовное дело, при производстве которого необходимо выполнить данное следственное действие;</w:t>
      </w:r>
    </w:p>
    <w:p>
      <w:pPr>
        <w:spacing w:after="120"/>
        <w:ind w:firstLine="709"/>
      </w:pPr>
      <w:r>
        <w:rPr>
          <w:sz w:val="24"/>
        </w:rPr>
        <w:t xml:space="preserve">2) основания, по которым производится данное следственное действие;</w:t>
      </w:r>
    </w:p>
    <w:p>
      <w:pPr>
        <w:spacing w:after="120"/>
        <w:ind w:firstLine="709"/>
      </w:pPr>
      <w:r>
        <w:rPr>
          <w:sz w:val="24"/>
        </w:rPr>
        <w:t xml:space="preserve">3) период, за который необходимо получить соответствующую информацию, и (или) срок производства данного следственного действия;</w:t>
      </w:r>
    </w:p>
    <w:p>
      <w:pPr>
        <w:spacing w:after="120"/>
        <w:ind w:firstLine="709"/>
      </w:pPr>
      <w:r>
        <w:rPr>
          <w:sz w:val="24"/>
        </w:rPr>
        <w:t xml:space="preserve">4) наименование организации, от которой необходимо получить указанную информацию.</w:t>
      </w:r>
    </w:p>
    <w:p>
      <w:pPr>
        <w:spacing w:after="120"/>
        <w:ind w:firstLine="709"/>
      </w:pPr>
      <w:r>
        <w:rPr>
          <w:sz w:val="24"/>
        </w:rPr>
        <w:t xml:space="preserve">3. В случае принятия судом решения о получении информации о соединениях между абонентами и (или) абонентскими устройствами его копия направляется следователем в соответствующую осуществляющую услуги связи организацию, руководитель которой обязан предоставить указанную информацию. Указанная информация направляется в том числе при наличии технической возможности посредством систем электронного документооборота в форме электронного документа, подписанного усиленной квалифицированной электронной подписью, в установленном федеральным законом порядке с соблюдением мер по обеспечению конфиденциальности и безопасности передаваемой информации. При отсутствии такой возможности указанная информация предоставляется в опечатанном виде на любом материальном носителе информации с сопроводительным письмом, в котором указываются период, за который она предоставлена, и номера абонентов и (или) абонентских устройств.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31.07.2025 N 278-ФЗ)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Получение следователем информации о соединениях между абонентами и (или) абонентскими устройствами может быть установлено на срок до шести месяцев.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 по мере ее поступления, но не реже одного раза в неделю.</w:t>
      </w:r>
    </w:p>
    <w:p>
      <w:pPr>
        <w:spacing w:after="120"/>
        <w:ind w:firstLine="709"/>
      </w:pPr>
      <w:r>
        <w:rPr>
          <w:sz w:val="24"/>
        </w:rPr>
        <w:t xml:space="preserve">5. Следователь осматривает представленные документы, содержащие информацию о соединениях между абонентами и (или) абонентскими устройствами, с участием специалиста (при необходимости), о чем составляет протокол, в котором должна быть указана та часть информации, которая, по мнению следователя, имеет отношение к уголовному делу (дата, время, продолжительность соединений между абонентами и (или) абонентскими устройствами, номера абонентов и другие данные). Лица, присутствовавшие при составлении протокола, вправе в том же протоколе или отдельно от него изложить свои замечания.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Представленные документы, содержащие информацию о соединениях между абонентами и (или) абонентскими устройствами,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условиях, исключающих возможность ознакомления с ними посторонних лиц и обеспечивающих их сохранность.</w:t>
      </w:r>
    </w:p>
    <w:p>
      <w:pPr>
        <w:spacing w:after="120"/>
        <w:ind w:firstLine="709"/>
      </w:pPr>
      <w:r>
        <w:rPr>
          <w:sz w:val="24"/>
        </w:rPr>
        <w:t xml:space="preserve">7. Если необходимость в производстве данного следственного действия отпадает, его производство прекращается по постановлению следователя, но не позднее окончания предварительного расследования по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186.1</dc:title>
  <dc:creator>АРБИТРАЖ! · arbi.ru</dc:creator>
  <cp:lastModifiedBy>АРБИТРАЖ!</cp:lastModifiedBy>
  <dcterms:created xsi:type="dcterms:W3CDTF">2026-10-24T15:23:13.464Z</dcterms:created>
</cp:coreProperties>
</file>