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вправе присутствовать при производстве судебной экспертизы, получать разъяснения эксперта по поводу проводимых им действий.</w:t>
      </w:r>
    </w:p>
    <w:p>
      <w:pPr>
        <w:spacing w:after="120"/>
        <w:ind w:firstLine="709"/>
      </w:pPr>
      <w:r>
        <w:rPr>
          <w:sz w:val="24"/>
        </w:rPr>
        <w:t xml:space="preserve">2. Факт присутствия следователя при производстве судебной экспертизы отражается в заключении эксперта.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197</dc:title>
  <dc:creator>АРБИТРАЖ! · arbi.ru</dc:creator>
  <cp:lastModifiedBy>АРБИТРАЖ!</cp:lastModifiedBy>
  <dcterms:created xsi:type="dcterms:W3CDTF">2026-10-24T04:04:56.746Z</dcterms:created>
</cp:coreProperties>
</file>