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200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судебной экспертизы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Комиссионная судебная экспертиза производится не менее чем двумя экспертами одной специальности. Комиссионный характер экспертизы определяется следователем либо руководителем экспертного учреждения, которому поручено производство судебной экспертизы.</w:t>
      </w:r>
    </w:p>
    <w:p>
      <w:pPr>
        <w:spacing w:after="120"/>
        <w:ind w:firstLine="709"/>
      </w:pPr>
      <w:r>
        <w:rPr>
          <w:sz w:val="24"/>
        </w:rPr>
        <w:t xml:space="preserve">2. Если по результатам проведенных исследований мнения экспертов по поставленным вопросам совпадают, то ими составляется единое заключение. В случае возникновения разногласий каждый из экспертов, участвовавших в производстве судебной экспертизы, дает отдельное заключение по вопросам, вызвавшим разногласие.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200</dc:title>
  <dc:creator>АРБИТРАЖ! · arbi.ru</dc:creator>
  <cp:lastModifiedBy>АРБИТРАЖ!</cp:lastModifiedBy>
  <dcterms:created xsi:type="dcterms:W3CDTF">2026-10-24T01:21:02.530Z</dcterms:created>
</cp:coreProperties>
</file>