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218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Направление уголовного дела с обвинительным заключением прокурору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окончании ознакомления обвиняемого и его защитника с материалами уголовного дела следователь составляет протокол в соответствии со статьями 166 и 167 настоящего Кодекса. В протоколе указываются даты начала и окончания ознакомления с материалами уголовного дела, заявленные ходатайства и иные заявления.</w:t>
      </w:r>
    </w:p>
    <w:p>
      <w:pPr>
        <w:spacing w:after="120"/>
        <w:ind w:firstLine="709"/>
      </w:pPr>
      <w:r>
        <w:rPr>
          <w:sz w:val="24"/>
        </w:rPr>
        <w:t xml:space="preserve">2. В протоколе делается запись о разъяснении обвиняемому его права, предусмотренного частью пятой статьи 217 настоящего Кодекса, и отражается его желание воспользоваться этим правом или отказаться от него.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218</dc:title>
  <dc:creator>АРБИТРАЖ! · arbi.ru</dc:creator>
  <cp:lastModifiedBy>АРБИТРАЖ!</cp:lastModifiedBy>
  <dcterms:created xsi:type="dcterms:W3CDTF">2026-10-23T08:23:12.238Z</dcterms:created>
</cp:coreProperties>
</file>