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Дознание в сокращенной форме производится в порядке, установленном главой 32 настоящего Кодекса, с изъятиями,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Дознание в сокращенной форме производится на основании ходатайства подозреваемого о производстве по уголовному делу дознания в сокращенной форме и при наличии одновременно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уголовное дело возбуждено в отношении конкретного лица по признакам одного или нескольких преступлений, указанных в пункте 1 части третьей статьи 150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подозреваемый признает свою вину, характер и размер причиненного преступлением вреда, а также не оспаривает правовую оценку деяния, приведенную в постановлении о возбуждении уголовного дела;</w:t>
      </w:r>
    </w:p>
    <w:p>
      <w:pPr>
        <w:spacing w:after="120"/>
        <w:ind w:firstLine="709"/>
      </w:pPr>
      <w:r>
        <w:rPr>
          <w:sz w:val="24"/>
        </w:rPr>
        <w:t xml:space="preserve">3) отсутствуют предусмотренные статьей 226.2 настоящего Кодекса обстоятельства, исключающие производство дознания в сокращенной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226.1</dc:title>
  <dc:creator>АРБИТРАЖ! · arbi.ru</dc:creator>
  <cp:lastModifiedBy>АРБИТРАЖ!</cp:lastModifiedBy>
  <dcterms:created xsi:type="dcterms:W3CDTF">2026-10-23T20:08:53.851Z</dcterms:created>
</cp:coreProperties>
</file>