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поступившему уголовному делу судья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направлении уголовного дела по подсудности;</w:t>
      </w:r>
    </w:p>
    <w:p>
      <w:pPr>
        <w:spacing w:after="120"/>
        <w:ind w:firstLine="709"/>
      </w:pPr>
      <w:r>
        <w:rPr>
          <w:sz w:val="24"/>
        </w:rPr>
        <w:t xml:space="preserve">2) о назначении предварительного слушания;</w:t>
      </w:r>
    </w:p>
    <w:p>
      <w:pPr>
        <w:spacing w:after="120"/>
        <w:ind w:firstLine="709"/>
      </w:pPr>
      <w:r>
        <w:rPr>
          <w:sz w:val="24"/>
        </w:rPr>
        <w:t xml:space="preserve">3) о назначении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Решение судьи оформляется постановлением, в котором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фамилия и инициалы судьи,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основания принятого решения.</w:t>
      </w:r>
    </w:p>
    <w:p>
      <w:pPr>
        <w:spacing w:after="120"/>
        <w:ind w:firstLine="709"/>
      </w:pPr>
      <w:r>
        <w:rPr>
          <w:sz w:val="24"/>
        </w:rPr>
        <w:t xml:space="preserve">3. Решение принимается в срок не позднее 30 суток со дня поступления уголовного дела в суд. В случае, если в суд поступает уголовное дело в отношении обвиняемого, содержащегося под стражей, судья принимает решение в срок не позднее 14 суток со дня поступления уголовного дела в суд. По просьбе стороны суд вправе предоставить ей возможность для дополнительного ознакомления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случае, если с уголовным делом поступило постановление о сохранении в тайне данных о личности участника уголовного судопроизводства, судья принимает меры, исключающие возможность ознакомления с указанным постановлением иных участников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4. Копия постановления судьи направляется обвиняемому, потерпевшему и прокурору.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227</dc:title>
  <dc:creator>АРБИТРАЖ! · arbi.ru</dc:creator>
  <cp:lastModifiedBy>АРБИТРАЖ!</cp:lastModifiedBy>
  <dcterms:created xsi:type="dcterms:W3CDTF">2026-10-24T04:45:29.829Z</dcterms:created>
</cp:coreProperties>
</file>