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239.1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Предварительное слушание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217-ФЗ)</w:t>
      </w:r>
    </w:p>
    <w:p>
      <w:pPr>
        <w:spacing w:after="120"/>
        <w:ind w:firstLine="709"/>
      </w:pPr>
      <w:r>
        <w:rPr>
          <w:sz w:val="24"/>
        </w:rPr>
        <w:t xml:space="preserve">По поступившему уголовному делу суд при наличии оснований, предусмотренных настоящим Кодексом, вправе принять решение о выделении уголовного дела в отдельное производство и направлении его по подсудности в соответствии со статьей 31 настоящего Кодекса, если раздельное рассмотрение судами уголовных дел не отразится на всесторонности и объективности их разрешения.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239.1</dc:title>
  <dc:creator>АРБИТРАЖ! · arbi.ru</dc:creator>
  <cp:lastModifiedBy>АРБИТРАЖ!</cp:lastModifiedBy>
  <dcterms:created xsi:type="dcterms:W3CDTF">2026-10-25T20:18:28.094Z</dcterms:created>
</cp:coreProperties>
</file>