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239.2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Предварительное слушание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327-ФЗ)</w:t>
      </w:r>
    </w:p>
    <w:p>
      <w:pPr>
        <w:spacing w:after="120"/>
        <w:ind w:firstLine="709"/>
      </w:pPr>
      <w:r>
        <w:rPr>
          <w:sz w:val="24"/>
        </w:rPr>
        <w:t xml:space="preserve">Суд при наличии оснований, предусмотренных настоящим Кодексом и возникших после поступления уголовного дела в суд, вправе по ходатайству стороны принять решение о соединении уголовных дел в одно производство.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239.2</dc:title>
  <dc:creator>АРБИТРАЖ! · arbi.ru</dc:creator>
  <cp:lastModifiedBy>АРБИТРАЖ!</cp:lastModifiedBy>
  <dcterms:created xsi:type="dcterms:W3CDTF">2026-10-25T21:28:07.807Z</dcterms:created>
</cp:coreProperties>
</file>