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242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35. Общие условия судебного разбирательства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Уголовное дело рассматривается одним и тем же судьей или одним и тем же составом суда.</w:t>
      </w:r>
    </w:p>
    <w:p>
      <w:pPr>
        <w:spacing w:after="120"/>
        <w:ind w:firstLine="709"/>
      </w:pPr>
      <w:r>
        <w:rPr>
          <w:sz w:val="24"/>
        </w:rPr>
        <w:t xml:space="preserve">2. Если кто-либо из судей лишен возможности продолжать участие в судебном заседании, то он заменяется другим судьей и судебное разбирательство уголовного дела начинается сначала.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242</dc:title>
  <dc:creator>АРБИТРАЖ! · arbi.ru</dc:creator>
  <cp:lastModifiedBy>АРБИТРАЖ!</cp:lastModifiedBy>
  <dcterms:created xsi:type="dcterms:W3CDTF">2026-10-26T01:53:32.319Z</dcterms:created>
</cp:coreProperties>
</file>