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руководит судебным заседанием, принимает все предусмотренные настоящим Кодексом меры по обеспечению состязательности и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обеспечивает соблюдение распорядка судебного заседания, разъясняет всем участникам судебного разбирательства их права и обязанности, порядок их осуществления, а также знакомит с регламентом судебного заседания, установленным статьей 257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Возражения любого участника судебного разбирательства против действий председательствующего заносятся в протокол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243</dc:title>
  <dc:creator>АРБИТРАЖ! · arbi.ru</dc:creator>
  <cp:lastModifiedBy>АРБИТРАЖ!</cp:lastModifiedBy>
  <dcterms:created xsi:type="dcterms:W3CDTF">2026-10-26T02:51:33.912Z</dcterms:created>
</cp:coreProperties>
</file>