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судебном заседании стороны обвинения и защиты пользуются равными правами на заявление отводов и ходатайств, представление доказательств, участие в их исследовании, выступление в судебных прениях, представление суду письменных формулировок по вопросам, указанным в пунктах 1 - 6 части первой статьи 299 настоящего Кодекса, на рассмотрение иных вопросов, возникающих в ходе судебного разбирательства.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244</dc:title>
  <dc:creator>АРБИТРАЖ! · arbi.ru</dc:creator>
  <cp:lastModifiedBy>АРБИТРАЖ!</cp:lastModifiedBy>
  <dcterms:created xsi:type="dcterms:W3CDTF">2026-10-26T04:02:59.488Z</dcterms:created>
</cp:coreProperties>
</file>