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249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Судебное разбирательство происходит при участии потерпевшего и (или) его представителя, если иное не предусмотрено частями второй и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При неявке потерпевшего суд рассматривает уголовное дело в его отсутствие, за исключением случаев, когда явка потерпевшего признана судом обязательной.</w:t>
      </w:r>
    </w:p>
    <w:p>
      <w:pPr>
        <w:spacing w:after="120"/>
        <w:ind w:firstLine="709"/>
      </w:pPr>
      <w:r>
        <w:rPr>
          <w:sz w:val="24"/>
        </w:rPr>
        <w:t xml:space="preserve">3. По уголовным делам частного обвинения неявка частного обвинителя без уважительных причин влечет за собой прекращение уголовного дела по основанию, предусмотренному пунктом 5 части первой статьи 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28.06.2022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249</dc:title>
  <dc:creator>АРБИТРАЖ! · arbi.ru</dc:creator>
  <cp:lastModifiedBy>АРБИТРАЖ!</cp:lastModifiedBy>
  <dcterms:created xsi:type="dcterms:W3CDTF">2026-10-26T11:25:24.661Z</dcterms:created>
</cp:coreProperties>
</file>