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255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255 см. Постановление КС РФ от 15.02.2022 N 6-П.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255 см. Постановление КС РФ от 22.03.2005 N 4-П.</w:t>
      </w:r>
    </w:p>
    <w:p>
      <w:pPr>
        <w:spacing w:after="120"/>
        <w:ind w:firstLine="709"/>
      </w:pPr>
      <w:r>
        <w:rPr>
          <w:sz w:val="24"/>
        </w:rPr>
        <w:t xml:space="preserve">1. В ходе судебного разбирательства суд вправе избрать, изменить или отменить меру пресечения в отношении подсудимого.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255 см. Постановление КС РФ от 22.03.2005 N 4-П.</w:t>
      </w:r>
    </w:p>
    <w:p>
      <w:pPr>
        <w:spacing w:after="120"/>
        <w:ind w:firstLine="709"/>
      </w:pPr>
      <w:r>
        <w:rPr>
          <w:sz w:val="24"/>
        </w:rPr>
        <w:t xml:space="preserve">2. Если заключение под стражу избрано подсудимому в качестве меры пресечения, то срок содержания его под стражей со дня поступления уголовного дела в суд и до вынесения приговора не может превышать 6 месяцев, за исключением случаев, предусмотренных частью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Суд, в производстве которого находится уголовное дело, по истечении 6 месяцев со дня поступления уголовного дела в суд вправе продлить срок содержания подсудимого под стражей. При этом продление срока содержания под стражей допускается только по уголовным делам о тяжких и особо тяжких преступлениях и каждый раз не более чем на 3 месяца.</w:t>
      </w:r>
    </w:p>
    <w:p>
      <w:pPr>
        <w:spacing w:after="120"/>
        <w:ind w:firstLine="709"/>
      </w:pPr>
      <w:r>
        <w:rPr>
          <w:sz w:val="24"/>
        </w:rPr>
        <w:t xml:space="preserve">4. Решение суда о продлении срока содержания подсудимого под стражей может быть обжаловано в апелляционном порядке. Обжалование не приостанавливает производство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255</dc:title>
  <dc:creator>АРБИТРАЖ! · arbi.ru</dc:creator>
  <cp:lastModifiedBy>АРБИТРАЖ!</cp:lastModifiedBy>
  <dcterms:created xsi:type="dcterms:W3CDTF">2026-10-26T17:59:15.236Z</dcterms:created>
</cp:coreProperties>
</file>