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Председательствующий разъясняет специалисту его права и ответственность, предусмотренные статьей 58 настоящего Кодекса, о чем специалист дает подписку, которая приобщается к протоколу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270</dc:title>
  <dc:creator>АРБИТРАЖ! · arbi.ru</dc:creator>
  <cp:lastModifiedBy>АРБИТРАЖ!</cp:lastModifiedBy>
  <dcterms:created xsi:type="dcterms:W3CDTF">2026-10-27T10:14:21.577Z</dcterms:created>
</cp:coreProperties>
</file>