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сторон или по собственной инициативе суд вправе вызвать для допроса эксперта, давшего заключение в ходе предварительного расследования, для разъяснения или дополнения данного им заключения.</w:t>
      </w:r>
    </w:p>
    <w:p>
      <w:pPr>
        <w:spacing w:after="120"/>
        <w:ind w:firstLine="709"/>
      </w:pPr>
      <w:r>
        <w:rPr>
          <w:sz w:val="24"/>
        </w:rPr>
        <w:t xml:space="preserve">2. После оглашения заключения эксперта ему могут быть заданы вопросы сторонами. При этом первой вопросы задает сторона, по инициативе которой была назначена экспертиза.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суд вправе предоставить эксперту время, необходимое для подготовки ответов на вопросы суда и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282</dc:title>
  <dc:creator>АРБИТРАЖ! · arbi.ru</dc:creator>
  <cp:lastModifiedBy>АРБИТРАЖ!</cp:lastModifiedBy>
  <dcterms:created xsi:type="dcterms:W3CDTF">2026-10-29T03:35:06.334Z</dcterms:created>
</cp:coreProperties>
</file>