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окончании исследования представленных сторонами доказательств председательствующий опрашивает стороны, желают ли они дополнить судебное следствие. В случае заявления ходатайства о дополнении судебного следствия суд обсуждает его и принимает соответствующее решение.</w:t>
      </w:r>
    </w:p>
    <w:p>
      <w:pPr>
        <w:spacing w:after="120"/>
        <w:ind w:firstLine="709"/>
      </w:pPr>
      <w:r>
        <w:rPr>
          <w:sz w:val="24"/>
        </w:rPr>
        <w:t xml:space="preserve">2. После разрешения ходатайств и выполнения связанных с этим необходимых судебных действий председательствующий объявляет судебное следствие оконченным.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291</dc:title>
  <dc:creator>АРБИТРАЖ! · arbi.ru</dc:creator>
  <cp:lastModifiedBy>АРБИТРАЖ!</cp:lastModifiedBy>
  <dcterms:created xsi:type="dcterms:W3CDTF">2026-10-29T13:43:51.975Z</dcterms:created>
</cp:coreProperties>
</file>