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298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39. Постановление приговора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Приговор постановляется судом в совещательной комнате. Во время постановления приговора в этой комнате могут находиться лишь судьи, входящие в состав суда по данному уголовному делу.</w:t>
      </w:r>
    </w:p>
    <w:p>
      <w:pPr>
        <w:spacing w:after="120"/>
        <w:ind w:firstLine="709"/>
      </w:pPr>
      <w:r>
        <w:rPr>
          <w:sz w:val="24"/>
        </w:rPr>
        <w:t xml:space="preserve">2. По окончании рабочего времени, а также в течение рабочего дня суд вправе сделать перерыв для отдыха с выходом из совещательной комнаты. Судьи не вправе разглашать суждения, имевшие место при обсуждении и постановлении приговора, или иным способом раскрывать тайну совещания судей.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21.10.2013 N 272-ФЗ)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298</dc:title>
  <dc:creator>АРБИТРАЖ! · arbi.ru</dc:creator>
  <cp:lastModifiedBy>АРБИТРАЖ!</cp:lastModifiedBy>
  <dcterms:created xsi:type="dcterms:W3CDTF">2026-10-29T21:33:26.024Z</dcterms:created>
</cp:coreProperties>
</file>