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разрешения вопросов, указанных в статье 299 настоящего Кодекса, суд переходит к составлению приговора. Он излагается на том языке, на котором проводилось судебное разбирательство, и состоит из вводной, описательно-мотивировочной и резолютивной частей.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303 см. Постановление КС РФ от 06.10.2026 N 58-П.</w:t>
      </w:r>
    </w:p>
    <w:p>
      <w:pPr>
        <w:spacing w:after="120"/>
        <w:ind w:firstLine="709"/>
      </w:pPr>
      <w:r>
        <w:rPr>
          <w:sz w:val="24"/>
        </w:rPr>
        <w:t xml:space="preserve">2. Приговор должен быть составлен в полном объеме, при этом написан от руки или изготовлен с помощью технических средств одним из судей, участвующих в его постановлении. Приговор подписывается всеми судьями, в том числе и судьей, оставшимся при особом мнении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Исправления в приговоре должны быть оговорены и удостоверены подписями всех судей в совещательной комнате до провозглашения приговора.</w:t>
      </w:r>
    </w:p>
    <w:p>
      <w:pPr>
        <w:spacing w:after="120"/>
        <w:ind w:firstLine="709"/>
      </w:pPr>
      <w:r>
        <w:rPr>
          <w:sz w:val="24"/>
        </w:rPr>
        <w:t xml:space="preserve">4. Если в ходе судебного разбирательства данные о личности потерпевшего, свидетеля или иных участников уголовного судопроизводства не раскрывались, суд в приговоре ссылается на псевдонимы этих лиц (с указанием этого факта).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28.12.2013 N 432-ФЗ)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303</dc:title>
  <dc:creator>АРБИТРАЖ! · arbi.ru</dc:creator>
  <cp:lastModifiedBy>АРБИТРАЖ!</cp:lastModifiedBy>
  <dcterms:created xsi:type="dcterms:W3CDTF">2026-10-30T03:14:36.088Z</dcterms:created>
</cp:coreProperties>
</file>