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 приведения присяжных заседателей к присяге стороны вправе заявить,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.</w:t>
      </w:r>
    </w:p>
    <w:p>
      <w:pPr>
        <w:spacing w:after="120"/>
        <w:ind w:firstLine="709"/>
      </w:pPr>
      <w:r>
        <w:rPr>
          <w:sz w:val="24"/>
        </w:rPr>
        <w:t xml:space="preserve">2. Выслушав мнение сторон, председательствующий разрешает данное заявление в совещательной комнате и выносит постановление.</w:t>
      </w:r>
    </w:p>
    <w:p>
      <w:pPr>
        <w:spacing w:after="120"/>
        <w:ind w:firstLine="709"/>
      </w:pPr>
      <w:r>
        <w:rPr>
          <w:sz w:val="24"/>
        </w:rPr>
        <w:t xml:space="preserve">3. Если заявление будет признано обоснованным, то председательствующий распускает коллегию присяжных заседателей и возобновляет подготовку к рассмотрению уголовного дела судом с участием присяжных заседателей в соответствии со статьей 324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330</dc:title>
  <dc:creator>АРБИТРАЖ! · arbi.ru</dc:creator>
  <cp:lastModifiedBy>АРБИТРАЖ!</cp:lastModifiedBy>
  <dcterms:created xsi:type="dcterms:W3CDTF">2026-10-31T18:38:58.975Z</dcterms:created>
</cp:coreProperties>
</file>