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судебного разбирательства уголовного дела присяжные заседатели разрешают только те вопросы, которые предусмотрены пунктами 1 , 2 и 4 части первой статьи 299 настоящего Кодекса и сформулированы в вопросном листе. В случае признания подсудимого виновным присяжные заседатели также указывают в соответствии со статьей 339 настоящего Кодекса, заслуживает ли подсудимый снисхождения.</w:t>
      </w:r>
    </w:p>
    <w:p>
      <w:pPr>
        <w:spacing w:after="120"/>
        <w:ind w:firstLine="709"/>
      </w:pPr>
      <w:r>
        <w:rPr>
          <w:sz w:val="24"/>
        </w:rPr>
        <w:t xml:space="preserve">2. Вопросы, не указанные в части первой настоящей статьи, разрешаются без участия присяжных заседателей председательствующим единолично.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334</dc:title>
  <dc:creator>АРБИТРАЖ! · arbi.ru</dc:creator>
  <cp:lastModifiedBy>АРБИТРАЖ!</cp:lastModifiedBy>
  <dcterms:created xsi:type="dcterms:W3CDTF">2026-10-31T22:58:14.377Z</dcterms:created>
</cp:coreProperties>
</file>