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окончания прений сторон все их участники имеют право на реплику. Право последней реплики принадлежит защитнику и подсудимому.</w:t>
      </w:r>
    </w:p>
    <w:p>
      <w:pPr>
        <w:spacing w:after="120"/>
        <w:ind w:firstLine="709"/>
      </w:pPr>
      <w:r>
        <w:rPr>
          <w:sz w:val="24"/>
        </w:rPr>
        <w:t xml:space="preserve">2. Подсудимому предоставляется последнее слово в соответствии со статьей 293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337</dc:title>
  <dc:creator>АРБИТРАЖ! · arbi.ru</dc:creator>
  <cp:lastModifiedBy>АРБИТРАЖ!</cp:lastModifiedBy>
  <dcterms:created xsi:type="dcterms:W3CDTF">2026-11-01T02:08:59.288Z</dcterms:created>
</cp:coreProperties>
</file>