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Указание в вердикте коллегии присяжных заседателей на то, что подсудимый, признанный виновным, заслуживает снисхождения, обязательно для председательствующего при назначении наказания.</w:t>
      </w:r>
    </w:p>
    <w:p>
      <w:pPr>
        <w:spacing w:after="120"/>
        <w:ind w:firstLine="709"/>
      </w:pPr>
      <w:r>
        <w:rPr>
          <w:sz w:val="24"/>
        </w:rPr>
        <w:t xml:space="preserve">2. Если подсудимый признан заслуживающим снисхождения, то председательствующий назначает ему наказание с применением положений статьи 65 Уголовного кодекса Российской Федерации. Если коллегией присяжных заседателей подсудимый не был признан заслуживающим снисхождения, то председательствующий с учетом обстоятельств, смягчающих и отягчающих наказание, и личности виновного вправе назначить подсудимому наказание не только в пределах, установленных соответствующей статьей Особенной части Уголовного кодекса Российской Федерации, но и с применением положений статьи 64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349</dc:title>
  <dc:creator>АРБИТРАЖ! · arbi.ru</dc:creator>
  <cp:lastModifiedBy>АРБИТРАЖ!</cp:lastModifiedBy>
  <dcterms:created xsi:type="dcterms:W3CDTF">2026-11-01T16:05:18.774Z</dcterms:created>
</cp:coreProperties>
</file>