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351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Приговор постановляется председательствующим в порядке, установленном главой 39 настоящего Кодекса, со следующими изъятиями:</w:t>
      </w:r>
    </w:p>
    <w:p>
      <w:pPr>
        <w:spacing w:after="120"/>
        <w:ind w:firstLine="709"/>
      </w:pPr>
      <w:r>
        <w:rPr>
          <w:sz w:val="24"/>
        </w:rPr>
        <w:t xml:space="preserve">1) в вводной части приговора не указываются фамилии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2) в описательно-мотивировочной части оправдательного приговора излагается существо обвинения, по поводу которого коллегией присяжных заседателей был вынесен оправдательный вердикт, и содержатся ссылки на вердикт коллегии присяжных заседателей либо отказ государственного обвинителя от обвинения. Приведение доказательств требуется лишь в части, не вытекающей из вердикта, вынесенного коллегией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3) в описательно-мотивировочной части обвинительного приговора должны содержаться описание преступного деяния, в совершении которого подсудимый признан виновным, квалификация содеянного, мотивы назначения наказания и обоснование решения суда в отношении гражданского иска;</w:t>
      </w:r>
    </w:p>
    <w:p>
      <w:pPr>
        <w:spacing w:after="120"/>
        <w:ind w:firstLine="709"/>
      </w:pPr>
      <w:r>
        <w:rPr>
          <w:sz w:val="24"/>
        </w:rPr>
        <w:t xml:space="preserve">4) в резолютивной части приговора должны содержаться разъяснения об апелляционном порядке его обжалования.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351</dc:title>
  <dc:creator>АРБИТРАЖ! · arbi.ru</dc:creator>
  <cp:lastModifiedBy>АРБИТРАЖ!</cp:lastModifiedBy>
  <dcterms:created xsi:type="dcterms:W3CDTF">2026-11-01T18:32:24.593Z</dcterms:created>
</cp:coreProperties>
</file>