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 на приговор или иное решение суда первой инстанции могут быть поданы в течение 15 суток со дня постановления приговора или вынесения иного решения суда, а осужденным, содержащимся под стражей, - в тот же срок со дня вручения ему копий приговора, определения, постановления.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29.12.2022 N 608-ФЗ)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течение срока, установленного для обжалования судебного решения, уголовное дело не может быть истребовано из суда.</w:t>
      </w:r>
    </w:p>
    <w:p>
      <w:pPr>
        <w:spacing w:after="120"/>
        <w:ind w:firstLine="709"/>
      </w:pPr>
      <w:r>
        <w:rPr>
          <w:sz w:val="24"/>
        </w:rPr>
        <w:t xml:space="preserve">3. Апелляционные жалоба, представление, поданные с пропуском срока, оставляются без рассмотрения.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389.4</dc:title>
  <dc:creator>АРБИТРАЖ! · arbi.ru</dc:creator>
  <cp:lastModifiedBy>АРБИТРАЖ!</cp:lastModifiedBy>
  <dcterms:created xsi:type="dcterms:W3CDTF">2026-11-02T01:22:00.325Z</dcterms:created>
</cp:coreProperties>
</file>