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пропуска срока апелляционного обжалования по уважительной причине лица, имеющие право подать апелляционные жалобу, представление, могут ходатайствовать перед судом, постановившим приговор или вынесшим иное обжалуемое решение, о восстановлении пропущенного срока. Ходатайство о восстановлении срока рассматривается судьей, председательствовавшим в судебном заседании по уголовному делу, или другим судьей.</w:t>
      </w:r>
    </w:p>
    <w:p>
      <w:pPr>
        <w:spacing w:after="120"/>
        <w:ind w:firstLine="709"/>
      </w:pPr>
      <w:r>
        <w:rPr>
          <w:sz w:val="24"/>
        </w:rPr>
        <w:t xml:space="preserve">2. Постановление судьи об отказе в восстановлении пропущенного срока может быть обжаловано в вышестоящий суд, который вправе отменить такое постановление и рассмотреть поданные апелляционные жалобу, представление по существу либо вернуть их в суд, вынесший обжалуемое судебное решение, для выполнения требований, предусмотренных статьей 389.6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389.5</dc:title>
  <dc:creator>АРБИТРАЖ! · arbi.ru</dc:creator>
  <cp:lastModifiedBy>АРБИТРАЖ!</cp:lastModifiedBy>
  <dcterms:created xsi:type="dcterms:W3CDTF">2026-11-02T02:38:56.545Z</dcterms:created>
</cp:coreProperties>
</file>