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Прения сторон проводятся в пределах, в которых уголовное дело рассматривалось в суде апелляционной инстанции. При этом первым выступает лицо, подавшее апелляционные жалобу или представление.</w:t>
      </w:r>
    </w:p>
    <w:p>
      <w:pPr>
        <w:spacing w:after="120"/>
        <w:ind w:firstLine="709"/>
      </w:pPr>
      <w:r>
        <w:rPr>
          <w:sz w:val="24"/>
        </w:rPr>
        <w:t xml:space="preserve">2. По окончании прений сторон суд предоставляет последнее слово лицу, в отношении которого проверяется судебное решение, если данное лицо участвует в судебном заседании, после чего суд удаляется в совещательную комнату для принятия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389.14</dc:title>
  <dc:creator>АРБИТРАЖ! · arbi.ru</dc:creator>
  <cp:lastModifiedBy>АРБИТРАЖ!</cp:lastModifiedBy>
  <dcterms:created xsi:type="dcterms:W3CDTF">2026-11-02T13:27:03.494Z</dcterms:created>
</cp:coreProperties>
</file>