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Описательно-мотивировочная часть оправдательного апелляционного приговора излагается в порядке, установленном статьей 305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описательно-мотивировочной части оправдательного апелляционного приговора излагаются:</w:t>
      </w:r>
    </w:p>
    <w:p>
      <w:pPr>
        <w:spacing w:after="120"/>
        <w:ind w:firstLine="709"/>
      </w:pPr>
      <w:r>
        <w:rPr>
          <w:sz w:val="24"/>
        </w:rPr>
        <w:t xml:space="preserve">1) существо предъявленного обвинения или описание преступного деяния, признанного доказанным, которые изложены в обвинительном приговоре суда первой инстанции, либо установленные обстоятельства, которые явились основанием для постановления оправдательного приговора или вынесения определения, постановления суда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2) обстоятельства уголовного дела, установленные судом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мотивы, по которым суд апелляционной инстанции отверг доказательства, представленные стороной обвинения, или которые приведены в обвинительном или оправдательном приговоре либо в определении, постановлении суда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389.29</dc:title>
  <dc:creator>АРБИТРАЖ! · arbi.ru</dc:creator>
  <cp:lastModifiedBy>АРБИТРАЖ!</cp:lastModifiedBy>
  <dcterms:created xsi:type="dcterms:W3CDTF">2026-11-03T07:28:09.641Z</dcterms:created>
</cp:coreProperties>
</file>