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Описательно-мотивировочная часть обвинительного апелляционного приговора излагается в порядке, установленном статьей 307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описательно-мотивировочной части обвинительного апелляционного приговора излагаются:</w:t>
      </w:r>
    </w:p>
    <w:p>
      <w:pPr>
        <w:spacing w:after="120"/>
        <w:ind w:firstLine="709"/>
      </w:pPr>
      <w:r>
        <w:rPr>
          <w:sz w:val="24"/>
        </w:rPr>
        <w:t xml:space="preserve">1) существо предъявленного обвинения или описание преступного деяния, признанного доказанным, которые изложены в приговоре суда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обстоятельства уголовного дела, установленные судом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мотивы, по которым суд апелляционной инстанции отверг доказательства, представленные сторонами, или которые приведены в обвинительном приговоре.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389.31</dc:title>
  <dc:creator>АРБИТРАЖ! · arbi.ru</dc:creator>
  <cp:lastModifiedBy>АРБИТРАЖ!</cp:lastModifiedBy>
  <dcterms:created xsi:type="dcterms:W3CDTF">2026-11-03T09:36:38.824Z</dcterms:created>
</cp:coreProperties>
</file>