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401.6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Пересмотр в кассационном порядке приговора, определения, постановления суда по основаниям, влекущим ухудшение положения осужденного, оправданного, лица, в отношении которого уголовное дело прекращено, допускается в срок, не превышающий одного года со дня вступления их в законную силу, если в ходе судебного разбирательства были допущены повлиявшие на исход дела нарушения закона, искажающие саму суть правосудия и смысл судебного решения как акта правосудия, либо если были выявлены данные, свидетельствующие о несоблюдении лицом условий и невыполнении им обязательств, предусмотренных досудебным соглашением о сотрудничестве.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Пересмотр в кассационном порядке постановления суда о возмещении реабилитированному имущественного вреда по основаниям, влекущим ухудшение положения реабилитированного, допускается в срок , не превышающий одного года со дня вступления его в законную силу.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07.10.2022 N 384-ФЗ)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401.6</dc:title>
  <dc:creator>АРБИТРАЖ! · arbi.ru</dc:creator>
  <cp:lastModifiedBy>АРБИТРАЖ!</cp:lastModifiedBy>
  <dcterms:created xsi:type="dcterms:W3CDTF">2026-11-05T13:02:13.989Z</dcterms:created>
</cp:coreProperties>
</file>