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401.12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кассационной инстанции направляет лицам, интересы которых затрагиваются жалобой или представлением, копии постановления о передаче кассационных жалобы, представления с уголовным делом для рассмотрения в судебном заседании суда кассационной инстанции и копии кассационных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2. Лица, указанные в части первой настоящей статьи, должны быть извещены о дате, времени и месте рассмотрения уголовного дела по кассационным жалобе, представлению не позднее 14 суток до дня судебного заседания. Неявка указанных лиц в судебное заседание суда кассационной инстанции не препятствует рассмотрению уголовного дела по кассационным жалобе, представлению.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401.12</dc:title>
  <dc:creator>АРБИТРАЖ! · arbi.ru</dc:creator>
  <cp:lastModifiedBy>АРБИТРАЖ!</cp:lastModifiedBy>
  <dcterms:created xsi:type="dcterms:W3CDTF">2026-11-07T02:25:33.132Z</dcterms:created>
</cp:coreProperties>
</file>