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Надзорные жалоба, представление рассматриваются в Верховном Суде Российской Федерации в течение одного месяца со дня их поступления, если уголовное дело не было истребовано, или в течение двух месяцев со дня их поступления, если уголовное дело было истребовано, за исключением периода со дня истребования дела до дня его поступления в Верховный Суд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412.6</dc:title>
  <dc:creator>АРБИТРАЖ! · arbi.ru</dc:creator>
  <cp:lastModifiedBy>АРБИТРАЖ!</cp:lastModifiedBy>
  <dcterms:created xsi:type="dcterms:W3CDTF">2026-11-07T04:52:13.709Z</dcterms:created>
</cp:coreProperties>
</file>