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412.11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результате рассмотрения уголовного дела суд надзорной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надзорные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приговор, определение или постановление суда и все последующие судебные решения и прекратить производство по данному уголовному делу;</w:t>
      </w:r>
    </w:p>
    <w:p>
      <w:pPr>
        <w:spacing w:after="120"/>
        <w:ind w:firstLine="709"/>
      </w:pPr>
      <w:r>
        <w:rPr>
          <w:sz w:val="24"/>
        </w:rPr>
        <w:t xml:space="preserve">3) отменить приговор, определение или постановление суда и все последующие судебные решения и передать уголовное дело в суд первой инстанции на новое судебное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4) отменить решение суда апелляционной инстанции и передать уголовное дело на новое апелляционное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5) отменить решение суда кассационной инстанции и передать уголовное дело на новое кассационное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5.1) отменить решение суда кассационной инстанции и оставить без изменения либо изменить приговор, определение или постановление суда и (или) последующие судебные решения;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28.06.2022 N 216-ФЗ)</w:t>
      </w:r>
    </w:p>
    <w:p>
      <w:pPr>
        <w:spacing w:after="120"/>
        <w:ind w:firstLine="709"/>
      </w:pPr>
      <w:r>
        <w:rPr>
          <w:sz w:val="24"/>
        </w:rPr>
        <w:t xml:space="preserve">6) отменить приговор, определение или постановление суда и все последующие судебные решения и возвратить уголовное дело прокурору при наличии оснований, предусмотренных частью третьей статьи 389.22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внести изменения в приговор, определение или постановление суда и (или) последующие судебные решения;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28.06.2022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оставить надзорные жалобу, представление без рассмотрения по существу при наличии оснований, предусмотренных статьей 412.4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пунктами 2 - 7 части первой настоящей статьи, суд надзорной инстанции должен указать конкретное основание отмены или изменения судебного решения в соответствии с частью первой статьи 412.9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Постановление суда надзорной инстанции подписывается председательствующим в судебном заседании и должно соответствовать требованиям частей третьей и четвертой статьи 389.28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Постановление суда надзорной инстанции приобщается к уголовному делу вместе с надзорными жалобой, представлением, постановлением судьи суда надзорной инстанции и вынесенным в случаях, предусмотренных частью третьей статьи 412.5 настоящего Кодекса, постановлением Председателя Верховного Суда Российской Федерации или его заместителя.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412.11</dc:title>
  <dc:creator>АРБИТРАЖ! · arbi.ru</dc:creator>
  <cp:lastModifiedBy>АРБИТРАЖ!</cp:lastModifiedBy>
  <dcterms:created xsi:type="dcterms:W3CDTF">2026-11-07T05:48:30.999Z</dcterms:created>
</cp:coreProperties>
</file>