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412.13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Постановление Президиума Верховного Суда Российской Федерации вступает в законную силу с момента его провозглашения.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412.13</dc:title>
  <dc:creator>АРБИТРАЖ! · arbi.ru</dc:creator>
  <cp:lastModifiedBy>АРБИТРАЖ!</cp:lastModifiedBy>
  <dcterms:created xsi:type="dcterms:W3CDTF">2026-11-07T18:05:01.432Z</dcterms:created>
</cp:coreProperties>
</file>