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420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50. Производство по уголовным делам в отношении несовершеннолетних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Требования настоящей главы применяются по уголовным делам в отношении лиц, не достигших к моменту совершения преступления возраста восемнадцати лет.</w:t>
      </w:r>
    </w:p>
    <w:p>
      <w:pPr>
        <w:spacing w:after="120"/>
        <w:ind w:firstLine="709"/>
      </w:pPr>
      <w:r>
        <w:rPr>
          <w:sz w:val="24"/>
        </w:rPr>
        <w:t xml:space="preserve">2. Производство по уголовному делу о преступлении, совершенном несовершеннолетним, осуществляется в общем порядке, установленном частями второй и третьей настоящего Кодекса, с изъятиями, предусмотренными настоящей главой.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420</dc:title>
  <dc:creator>АРБИТРАЖ! · arbi.ru</dc:creator>
  <cp:lastModifiedBy>АРБИТРАЖ!</cp:lastModifiedBy>
  <dcterms:created xsi:type="dcterms:W3CDTF">2026-11-07T20:38:13.112Z</dcterms:created>
</cp:coreProperties>
</file>