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Законные представители несовершеннолетнего подозреваемого, обвиняемого допускаются к участию в уголовном деле на основании постановления следователя, дознавателя с момента первого допроса несовершеннолетнего в качестве подозреваемого или обвиняемого. При допуске к участию в уголовном деле им разъясняются права, предусмотренные частью второй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Законный представитель вправе:</w:t>
      </w:r>
    </w:p>
    <w:p>
      <w:pPr>
        <w:spacing w:after="120"/>
        <w:ind w:firstLine="709"/>
      </w:pPr>
      <w:r>
        <w:rPr>
          <w:sz w:val="24"/>
        </w:rPr>
        <w:t xml:space="preserve">1) знать, в чем подозревается или обвиняется несовершеннолетний;</w:t>
      </w:r>
    </w:p>
    <w:p>
      <w:pPr>
        <w:spacing w:after="120"/>
        <w:ind w:firstLine="709"/>
      </w:pPr>
      <w:r>
        <w:rPr>
          <w:sz w:val="24"/>
        </w:rPr>
        <w:t xml:space="preserve">2) присутствовать при предъявлении обвинения;</w:t>
      </w:r>
    </w:p>
    <w:p>
      <w:pPr>
        <w:spacing w:after="120"/>
        <w:ind w:firstLine="709"/>
      </w:pPr>
      <w:r>
        <w:rPr>
          <w:sz w:val="24"/>
        </w:rPr>
        <w:t xml:space="preserve">3) участвовать в допросе несовершеннолетнего подозреваемого, обвиняемого, а также с разрешения следователя - в иных следственных действиях, производимых с его участием и участием защитника;</w:t>
      </w:r>
    </w:p>
    <w:p>
      <w:pPr>
        <w:spacing w:after="120"/>
        <w:ind w:firstLine="709"/>
      </w:pPr>
      <w:r>
        <w:rPr>
          <w:sz w:val="24"/>
        </w:rPr>
        <w:t xml:space="preserve">4) знакомиться с протоколами следственных действий, в которых он принимал участие, и делать письменные замечания о правильности и полноте сделанных в них записей;</w:t>
      </w:r>
    </w:p>
    <w:p>
      <w:pPr>
        <w:spacing w:after="120"/>
        <w:ind w:firstLine="709"/>
      </w:pPr>
      <w:r>
        <w:rPr>
          <w:sz w:val="24"/>
        </w:rPr>
        <w:t xml:space="preserve">5) заявлять ходатайства и отводы, приносить жалобы на действия (бездействие) и решения дознавателя, следователя, прокурора;</w:t>
      </w:r>
    </w:p>
    <w:p>
      <w:pPr>
        <w:spacing w:after="120"/>
        <w:ind w:firstLine="709"/>
      </w:pPr>
      <w:r>
        <w:rPr>
          <w:sz w:val="24"/>
        </w:rPr>
        <w:t xml:space="preserve">6)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7) по окончании предварительного расследования знакомиться со всеми материалами уголовного дела, выписывать из него любые сведения и в любом объеме.</w:t>
      </w:r>
    </w:p>
    <w:p>
      <w:pPr>
        <w:spacing w:after="120"/>
        <w:ind w:firstLine="709"/>
      </w:pPr>
      <w:r>
        <w:rPr>
          <w:sz w:val="24"/>
        </w:rPr>
        <w:t xml:space="preserve">3. Следователь, дознаватель вправе по окончании предварительного расследования вынести постановление о непредъявлении несовершеннолетнему обвиняемому для ознакомления тех материалов уголовного дела, которые могут оказать на него отрицательное воздействие. Ознакомление с этими материалами законного представителя несовершеннолетнего обвиняемого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Законный представитель может быть отстранен от участия в уголовном деле, если имеются основания полагать, что его действия наносят ущерб интересам несовершеннолетнего подозреваемого, обвиняемого. Об этом следователь, дознаватель выносят постановление. В этом случае к участию в уголовном деле допускается другой законный представитель несовершеннолетнего подозреваемого, обвиняемого.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426</dc:title>
  <dc:creator>АРБИТРАЖ! · arbi.ru</dc:creator>
  <cp:lastModifiedBy>АРБИТРАЖ!</cp:lastModifiedBy>
  <dcterms:created xsi:type="dcterms:W3CDTF">2026-11-07T22:01:22.565Z</dcterms:created>
</cp:coreProperties>
</file>