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428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судебное заседание вызываются законные представители несовершеннолетнего подсудимого, которые вправе:</w:t>
      </w:r>
    </w:p>
    <w:p>
      <w:pPr>
        <w:spacing w:after="120"/>
        <w:ind w:firstLine="709"/>
      </w:pPr>
      <w:r>
        <w:rPr>
          <w:sz w:val="24"/>
        </w:rPr>
        <w:t xml:space="preserve">1) заявлять ходатайства и отводы;</w:t>
      </w:r>
    </w:p>
    <w:p>
      <w:pPr>
        <w:spacing w:after="120"/>
        <w:ind w:firstLine="709"/>
      </w:pPr>
      <w:r>
        <w:rPr>
          <w:sz w:val="24"/>
        </w:rPr>
        <w:t xml:space="preserve">2) давать показания;</w:t>
      </w:r>
    </w:p>
    <w:p>
      <w:pPr>
        <w:spacing w:after="120"/>
        <w:ind w:firstLine="709"/>
      </w:pPr>
      <w:r>
        <w:rPr>
          <w:sz w:val="24"/>
        </w:rPr>
        <w:t xml:space="preserve">3) представлять доказательства;</w:t>
      </w:r>
    </w:p>
    <w:p>
      <w:pPr>
        <w:spacing w:after="120"/>
        <w:ind w:firstLine="709"/>
      </w:pPr>
      <w:r>
        <w:rPr>
          <w:sz w:val="24"/>
        </w:rPr>
        <w:t xml:space="preserve">4) участвовать в прениях сторон;</w:t>
      </w:r>
    </w:p>
    <w:p>
      <w:pPr>
        <w:spacing w:after="120"/>
        <w:ind w:firstLine="709"/>
      </w:pPr>
      <w:r>
        <w:rPr>
          <w:sz w:val="24"/>
        </w:rPr>
        <w:t xml:space="preserve">5) приносить жалобы на действия (бездействие) и решения суда;</w:t>
      </w:r>
    </w:p>
    <w:p>
      <w:pPr>
        <w:spacing w:after="120"/>
        <w:ind w:firstLine="709"/>
      </w:pPr>
      <w:r>
        <w:rPr>
          <w:sz w:val="24"/>
        </w:rPr>
        <w:t xml:space="preserve">6) участвовать в заседании судов апелляционной, кассационной и надзорной инстанций.</w:t>
      </w:r>
    </w:p>
    <w:p>
      <w:pPr>
        <w:spacing w:after="120"/>
        <w:ind w:firstLine="709"/>
      </w:pPr>
      <w:r>
        <w:rPr>
          <w:sz w:val="24"/>
        </w:rPr>
        <w:t xml:space="preserve">2. По определению или постановлению суда законный представитель может быть отстранен от участия в судебном разбирательстве, если есть основания полагать, что его действия наносят ущерб интересам несовершеннолетнего подсудимого. В этом случае допускается другой законный представитель несовершеннолетнего подсудимого.</w:t>
      </w:r>
    </w:p>
    <w:p>
      <w:pPr>
        <w:spacing w:after="120"/>
        <w:ind w:firstLine="709"/>
      </w:pPr>
      <w:r>
        <w:rPr>
          <w:sz w:val="24"/>
        </w:rPr>
        <w:t xml:space="preserve">3. Неявка своевременно извещенного законного представителя несовершеннолетнего подсудимого не приостанавливает рассмотрения уголовного дела, если суд не найдет его участие необходимым.</w:t>
      </w:r>
    </w:p>
    <w:p>
      <w:pPr>
        <w:spacing w:after="120"/>
        <w:ind w:firstLine="709"/>
      </w:pPr>
      <w:r>
        <w:rPr>
          <w:sz w:val="24"/>
        </w:rPr>
        <w:t xml:space="preserve">4. Если законный представитель несовершеннолетнего подсудимого допущен к участию в уголовном деле в качестве защитника или гражданского ответчика, то он имеет права и несет ответственность, предусмотренные статьями 53 и 54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428</dc:title>
  <dc:creator>АРБИТРАЖ! · arbi.ru</dc:creator>
  <cp:lastModifiedBy>АРБИТРАЖ!</cp:lastModifiedBy>
  <dcterms:created xsi:type="dcterms:W3CDTF">2026-11-07T22:21:13.119Z</dcterms:created>
</cp:coreProperties>
</file>