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446.1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51.1. Производство о назначении меры уголовно-правового характера при освобождении от уголовной ответственности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Требования настоящей главы применяются в случае прекращения уголовного дела или уголовного преследования в соответствии со статьей 25.1 настоящего Кодекса и назначения меры уголовно-правового характера в виде судебного штрафа, предусмотренной статьей 104.4 Уголовного кодекса Российской Федерации.</w:t>
      </w:r>
    </w:p>
    <w:p>
      <w:pPr>
        <w:spacing w:after="120"/>
        <w:ind w:firstLine="709"/>
      </w:pPr>
      <w:r>
        <w:rPr>
          <w:sz w:val="24"/>
        </w:rPr>
        <w:t xml:space="preserve">2. Производство о прекращении уголовного дела или уголовного преследования и назначении меры уголовно-правового характера в виде судебного штрафа осуществляется по правилам, установленным настоящим Кодексом, с особенностями, предусмотренными настоящей главой.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446.1</dc:title>
  <dc:creator>АРБИТРАЖ! · arbi.ru</dc:creator>
  <cp:lastModifiedBy>АРБИТРАЖ!</cp:lastModifiedBy>
  <dcterms:created xsi:type="dcterms:W3CDTF">2026-11-08T01:21:23.151Z</dcterms:created>
</cp:coreProperties>
</file>