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446.4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51.1. Производство о назначении меры уголовно-правового характера при освобождении от уголовной ответственности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1. Обращение к исполнению решения о назначении меры уголовно-правового характера в виде судебного штрафа возлагается на вынесший решение суд.</w:t>
      </w:r>
    </w:p>
    <w:p>
      <w:pPr>
        <w:spacing w:after="120"/>
        <w:ind w:firstLine="709"/>
      </w:pPr>
      <w:r>
        <w:rPr>
          <w:sz w:val="24"/>
        </w:rPr>
        <w:t xml:space="preserve">2. Решение о применении меры уголовно-правового характера в виде судебного штрафа обращается к исполнению в порядке, установленном статьей 393 настоящего Кодекса.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446.4</dc:title>
  <dc:creator>АРБИТРАЖ! · arbi.ru</dc:creator>
  <cp:lastModifiedBy>АРБИТРАЖ!</cp:lastModifiedBy>
  <dcterms:created xsi:type="dcterms:W3CDTF">2026-11-08T01:57:31.369Z</dcterms:created>
</cp:coreProperties>
</file>