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447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52. Особенности производства по уголовным делам в отношении отдельных категорий лиц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Требования настоящей главы применяются при производстве по уголовным делам в отношении:</w:t>
      </w:r>
    </w:p>
    <w:p>
      <w:pPr>
        <w:spacing w:after="120"/>
        <w:ind w:firstLine="709"/>
      </w:pPr>
      <w:r>
        <w:rPr>
          <w:sz w:val="24"/>
        </w:rPr>
        <w:t xml:space="preserve">1) сенатора Российской Федерации и депутата Государственной Думы, депутата законодательного (представительного) органа государственной власти субъекта Российской Федерации, депутата, члена выборного органа местного самоуправления, выборного должностного лица органа местного самоуправления;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13.06.2023 N 236-ФЗ)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2) судьи Конституционного Суда Российской Федерации, судьи федерального суда общей юрисдикции или федерального арбитражного суда, мирового судьи, присяжного или арбитражного заседателя в период осуществления им правосудия;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29.05.2002 N 58-ФЗ , от 14.07.2022 N 335-ФЗ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3) Председателя Счетной палаты Российской Федерации, его заместителя и аудиторов Счетной палаты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4) Уполномоченного по правам человека в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5) Президента Российской Федерации, прекратившего исполнение своих полномочий, а также кандидата в Президенты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6) прокурора;</w:t>
      </w:r>
    </w:p>
    <w:p>
      <w:pPr>
        <w:spacing w:after="120"/>
        <w:ind w:firstLine="709"/>
      </w:pPr>
      <w:r>
        <w:rPr>
          <w:sz w:val="24"/>
        </w:rPr>
        <w:t xml:space="preserve">6.1) Председателя Следственного комитета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(п. 6.1 в ред. Федерального закона от 28.12.2010 N 404-ФЗ)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6.2) руководителя следственного органа;</w:t>
      </w:r>
    </w:p>
    <w:p>
      <w:pPr>
        <w:spacing w:after="120"/>
        <w:ind w:firstLine="709"/>
      </w:pPr>
      <w:r>
        <w:rPr>
          <w:sz w:val="24"/>
        </w:rPr>
        <w:t xml:space="preserve">(п. 6.2 введен Федеральным законом от 05.06.2007 N 87-ФЗ)</w:t>
      </w:r>
    </w:p>
    <w:p>
      <w:pPr>
        <w:spacing w:after="120"/>
        <w:ind w:firstLine="709"/>
      </w:pPr>
      <w:r>
        <w:rPr>
          <w:sz w:val="24"/>
        </w:rPr>
        <w:t xml:space="preserve">7) следователя;</w:t>
      </w:r>
    </w:p>
    <w:p>
      <w:pPr>
        <w:spacing w:after="120"/>
        <w:ind w:firstLine="709"/>
      </w:pPr>
      <w:r>
        <w:rPr>
          <w:sz w:val="24"/>
        </w:rPr>
        <w:t xml:space="preserve">8) адвоката;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94-ФЗ)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9) члена избирательной комиссии, комиссии референдума с правом решающего голоса;</w:t>
      </w:r>
    </w:p>
    <w:p>
      <w:pPr>
        <w:spacing w:after="120"/>
        <w:ind w:firstLine="709"/>
      </w:pPr>
      <w:r>
        <w:rPr>
          <w:sz w:val="24"/>
        </w:rPr>
        <w:t xml:space="preserve">(п. 9 введен Федеральным законом от 04.07.2003 N 94-ФЗ)</w:t>
      </w:r>
    </w:p>
    <w:p>
      <w:pPr>
        <w:spacing w:after="120"/>
        <w:ind w:firstLine="709"/>
      </w:pPr>
      <w:r>
        <w:rPr>
          <w:sz w:val="24"/>
        </w:rPr>
        <w:t xml:space="preserve">10) зарегистрированного кандидата в депутаты Государственной Думы, зарегистрированного кандидата в депутаты законодательного (представительного) органа государственной власти субъекта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(п. 10 введен Федеральным законом от 26.04.2007 N 64-ФЗ)</w:t>
      </w:r>
    </w:p>
    <w:p>
      <w:pPr>
        <w:spacing w:after="120"/>
        <w:ind w:firstLine="709"/>
      </w:pPr>
      <w:r>
        <w:rPr>
          <w:sz w:val="24"/>
        </w:rPr>
        <w:t xml:space="preserve">2. Порядок производства по уголовным делам в отношении лиц, указанных в части первой настоящей статьи, устанавливается настоящим Кодексом с изъятиями, предусмотренными настоящей главой.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447</dc:title>
  <dc:creator>АРБИТРАЖ! · arbi.ru</dc:creator>
  <cp:lastModifiedBy>АРБИТРАЖ!</cp:lastModifiedBy>
  <dcterms:created xsi:type="dcterms:W3CDTF">2026-11-08T02:21:31.999Z</dcterms:created>
</cp:coreProperties>
</file>