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449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52. Особенности производства по уголовным делам в отношении отдельных категорий лиц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Сенатор Российской Федерации, депутат Государственной Думы, судья федерального суда, мировой судья, прокурор, Председатель Счетной палаты Российской Федерации, его заместитель и аудитор Счетной палаты Российской Федерации, Уполномоченный по правам человека в Российской Федерации, Президент Российской Федерации, прекративший исполнение своих полномочий, задержанные по подозрению в совершении преступления в порядке, установленном статьей 91 настоящего Кодекса, за исключением случаев задержания на месте преступления, должны быть освобождены немедленно после установления их личности.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13.06.2023 N 236-ФЗ)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449</dc:title>
  <dc:creator>АРБИТРАЖ! · arbi.ru</dc:creator>
  <cp:lastModifiedBy>АРБИТРАЖ!</cp:lastModifiedBy>
  <dcterms:created xsi:type="dcterms:W3CDTF">2026-11-08T02:45:30.643Z</dcterms:created>
</cp:coreProperties>
</file>